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58F1" w14:textId="11C2A6EF" w:rsidR="008360F7" w:rsidRDefault="008360F7" w:rsidP="008360F7">
      <w:pPr>
        <w:spacing w:line="36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738AECAC" wp14:editId="2F522DF0">
            <wp:extent cx="3758366" cy="990600"/>
            <wp:effectExtent l="0" t="0" r="0" b="0"/>
            <wp:docPr id="1623797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97860" name="Picture 162379786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01222" cy="1001896"/>
                    </a:xfrm>
                    <a:prstGeom prst="rect">
                      <a:avLst/>
                    </a:prstGeom>
                  </pic:spPr>
                </pic:pic>
              </a:graphicData>
            </a:graphic>
          </wp:inline>
        </w:drawing>
      </w:r>
    </w:p>
    <w:p w14:paraId="6C96E362" w14:textId="77777777" w:rsidR="008360F7" w:rsidRDefault="008360F7" w:rsidP="008360F7">
      <w:pPr>
        <w:spacing w:line="360" w:lineRule="auto"/>
        <w:jc w:val="center"/>
        <w:rPr>
          <w:rFonts w:ascii="Times New Roman" w:hAnsi="Times New Roman" w:cs="Times New Roman"/>
          <w:b/>
          <w:bCs/>
        </w:rPr>
      </w:pPr>
    </w:p>
    <w:p w14:paraId="08577D97" w14:textId="4971D701" w:rsidR="00901941" w:rsidRPr="008360F7" w:rsidRDefault="008360F7" w:rsidP="008360F7">
      <w:pPr>
        <w:spacing w:line="360" w:lineRule="auto"/>
        <w:jc w:val="center"/>
        <w:rPr>
          <w:rFonts w:ascii="Times New Roman" w:hAnsi="Times New Roman" w:cs="Times New Roman"/>
          <w:b/>
          <w:bCs/>
          <w:color w:val="62243D"/>
        </w:rPr>
      </w:pPr>
      <w:r w:rsidRPr="008360F7">
        <w:rPr>
          <w:rFonts w:ascii="Times New Roman" w:hAnsi="Times New Roman" w:cs="Times New Roman"/>
          <w:b/>
          <w:bCs/>
          <w:color w:val="62243D"/>
        </w:rPr>
        <w:t>INAUGURAL CINIA INFORMATION INTEGRITY SUMMIT</w:t>
      </w:r>
      <w:r>
        <w:rPr>
          <w:rFonts w:ascii="Times New Roman" w:hAnsi="Times New Roman" w:cs="Times New Roman"/>
          <w:b/>
          <w:bCs/>
          <w:color w:val="62243D"/>
        </w:rPr>
        <w:t xml:space="preserve"> 2025</w:t>
      </w:r>
    </w:p>
    <w:p w14:paraId="1F79B88A" w14:textId="071DB07C"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inaugural Centre for Information Integrity in Africa (</w:t>
      </w:r>
      <w:r w:rsidRPr="008360F7">
        <w:rPr>
          <w:rFonts w:ascii="Times New Roman" w:hAnsi="Times New Roman" w:cs="Times New Roman"/>
          <w:b/>
          <w:bCs/>
        </w:rPr>
        <w:t>CINIA</w:t>
      </w:r>
      <w:r w:rsidRPr="008360F7">
        <w:rPr>
          <w:rFonts w:ascii="Times New Roman" w:hAnsi="Times New Roman" w:cs="Times New Roman"/>
        </w:rPr>
        <w:t xml:space="preserve">) </w:t>
      </w:r>
      <w:r w:rsidR="008360F7" w:rsidRPr="008360F7">
        <w:rPr>
          <w:rFonts w:ascii="Times New Roman" w:hAnsi="Times New Roman" w:cs="Times New Roman"/>
        </w:rPr>
        <w:t>summit</w:t>
      </w:r>
      <w:r w:rsidRPr="008360F7">
        <w:rPr>
          <w:rFonts w:ascii="Times New Roman" w:hAnsi="Times New Roman" w:cs="Times New Roman"/>
        </w:rPr>
        <w:t xml:space="preserve"> convened a vital cross-sectoral dialogue on Information Integrity, bringing together representatives from civil society, South Africa's Public Broadcaster, Meta, the Department of Communications and Digital Technologies, academics, researchers, and journalists. The primary goal of the summit was to discuss current work, identify crucial gaps in the information ecosystem, and forge collaborative strategies to address these challenges collectively. The opening session itself set the tone with a strong emphasis on the necessity of this collaboration for future endeavours.</w:t>
      </w:r>
    </w:p>
    <w:p w14:paraId="47027C9C" w14:textId="302B5694"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Cyber Security</w:t>
      </w:r>
      <w:r w:rsidR="008360F7">
        <w:rPr>
          <w:rFonts w:ascii="Times New Roman" w:hAnsi="Times New Roman" w:cs="Times New Roman"/>
          <w:b/>
          <w:bCs/>
          <w:color w:val="62243D"/>
        </w:rPr>
        <w:t xml:space="preserve">: </w:t>
      </w:r>
      <w:r w:rsidRPr="008360F7">
        <w:rPr>
          <w:rFonts w:ascii="Times New Roman" w:hAnsi="Times New Roman" w:cs="Times New Roman"/>
          <w:b/>
          <w:bCs/>
          <w:color w:val="62243D"/>
        </w:rPr>
        <w:t xml:space="preserve">Whole of </w:t>
      </w:r>
      <w:r w:rsidR="008360F7">
        <w:rPr>
          <w:rFonts w:ascii="Times New Roman" w:hAnsi="Times New Roman" w:cs="Times New Roman"/>
          <w:b/>
          <w:bCs/>
          <w:color w:val="62243D"/>
        </w:rPr>
        <w:t>S</w:t>
      </w:r>
      <w:r w:rsidRPr="008360F7">
        <w:rPr>
          <w:rFonts w:ascii="Times New Roman" w:hAnsi="Times New Roman" w:cs="Times New Roman"/>
          <w:b/>
          <w:bCs/>
          <w:color w:val="62243D"/>
        </w:rPr>
        <w:t xml:space="preserve">ociety </w:t>
      </w:r>
      <w:r w:rsidR="008360F7">
        <w:rPr>
          <w:rFonts w:ascii="Times New Roman" w:hAnsi="Times New Roman" w:cs="Times New Roman"/>
          <w:b/>
          <w:bCs/>
          <w:color w:val="62243D"/>
        </w:rPr>
        <w:t>A</w:t>
      </w:r>
      <w:r w:rsidRPr="008360F7">
        <w:rPr>
          <w:rFonts w:ascii="Times New Roman" w:hAnsi="Times New Roman" w:cs="Times New Roman"/>
          <w:b/>
          <w:bCs/>
          <w:color w:val="62243D"/>
        </w:rPr>
        <w:t>pproach</w:t>
      </w:r>
    </w:p>
    <w:p w14:paraId="45734949" w14:textId="697E3D22"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session on Cyber Security underscored the critical need for a unified, collaborative front against the rapidly escalating complexity of cyber threats and information integrity issues. Speakers highlighted that democratic nations face a distinct challenge in defending against Foreign Information Manipulation and Interference (FIMI) due to their inherent openness, contrasting with autocratic states. Discussions frequently pointed to Scandinavian models as benchmarks for effective whole-of-society approaches, prompting a call for adaptation of such strategies to the South African context, especially given the perceived vagueness of current national cybersecurity and disinformation strategies.</w:t>
      </w:r>
    </w:p>
    <w:p w14:paraId="72CF3C79" w14:textId="5544E183"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conversation stressed the intertwined nature of cybersecurity and information integrity, viewing them as core components of modern cyber warfare. A crucial consensus was the need for institutional resilience. While governmental involvement is necessary, the power to ultimately determine truth and falsehood should be vested in independent bodies, such as South Africa's Chapter 9 institutions, to safeguard freedom of speech. A strong call emerged for the enhanced integration of digital literacy alongside media literacy within school curricula to better equip citizens to navigate the online information environment. The concept of "useful idiots" was discussed to illustrate how even well-meaning individuals, including journalists, can inadvertently amplify distorted or inauthentic narratives without proper rigor and scrutiny.</w:t>
      </w:r>
    </w:p>
    <w:p w14:paraId="134FEEB0" w14:textId="77777777" w:rsidR="00901941" w:rsidRPr="008360F7" w:rsidRDefault="00901941" w:rsidP="008360F7">
      <w:pPr>
        <w:spacing w:line="360" w:lineRule="auto"/>
        <w:jc w:val="both"/>
        <w:rPr>
          <w:rFonts w:ascii="Times New Roman" w:hAnsi="Times New Roman" w:cs="Times New Roman"/>
          <w:b/>
          <w:bCs/>
        </w:rPr>
      </w:pPr>
      <w:r w:rsidRPr="008360F7">
        <w:rPr>
          <w:rFonts w:ascii="Times New Roman" w:hAnsi="Times New Roman" w:cs="Times New Roman"/>
          <w:b/>
          <w:bCs/>
          <w:color w:val="62243D"/>
        </w:rPr>
        <w:lastRenderedPageBreak/>
        <w:t>The Platform Dilemma and Influence Operations</w:t>
      </w:r>
    </w:p>
    <w:p w14:paraId="7C848BCF"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role of digital platforms in the information ecosystem was extensively debated. Platforms, such as Meta, acknowledged their vast reach but maintained they are not the sole arbiters of truth, believing this should be determined by people. Nonetheless, they are actively engaged in combatting bad actors and working with law enforcement. However, they face challenges in information sharing and content moderation, particularly with the rapid emergence of new malicious accounts. From an African perspective, a significant concern was the continent's fragmented market, which makes consistent regulation of global platforms difficult. This led to an advocacy for continental cooperation to gain greater leverage over these global entities.</w:t>
      </w:r>
    </w:p>
    <w:p w14:paraId="03F4750C"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session also drew a nuanced distinction between direct influence operations and broader, "fuzzier" forms of information shaping that influence the general population. While foreign adversaries like Russia were cited, the discussion acknowledged that a variety of actors, including paid influencers driven by business or psychological motives, contribute to the spread of inauthentic narratives. Structural issues were also addressed: the widespread use of burner SIMs and the failure of existing regulations like RICA in South Africa were cited as significant challenges that facilitate not only disinformation but also other criminal activities. The overarching conclusion was the necessity of multi-layered, continuous investment in education and a collective understanding that the threats are evolving, demanding constant adaptation and cross-sectoral collaboration.</w:t>
      </w:r>
    </w:p>
    <w:p w14:paraId="740C80E6" w14:textId="27E3900C"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AI and Governance: Navigating the New Frontier</w:t>
      </w:r>
    </w:p>
    <w:p w14:paraId="1EB9E3D4" w14:textId="275DA4BE"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"AI and Governance" session brought to the fore the urgent need for robust regulatory frameworks and ethical considerations in the rapidly evolving landscape of Artificial Intelligence. The discussion highlighted the contrasting regulatory approaches globally: the EU favours extensive, risk-based regulation; the US prioritises maintaining its lead in development; and China focuses on policy and governance with significant state control over data. A recurring and significant concern for the continent was the absence of a unified, pan-African approach to AI governance, particularly given the borderless nature of online AI systems, signalling what was described as a global "arms race" rather than an "innovation race."</w:t>
      </w:r>
    </w:p>
    <w:p w14:paraId="5C66019F"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 xml:space="preserve">The intrinsic link between data governance and AI was underscored, with speakers calling for reforms to access to information laws to ensure transparency and accountability. The need to understand information within its economic and structural context was emphasized, suggesting that leveraging open data paradigms could lead to more just outcomes. Existing South African </w:t>
      </w:r>
      <w:r w:rsidRPr="008360F7">
        <w:rPr>
          <w:rFonts w:ascii="Times New Roman" w:hAnsi="Times New Roman" w:cs="Times New Roman"/>
        </w:rPr>
        <w:lastRenderedPageBreak/>
        <w:t>legislation, such as the ECT Act and POPIA, were discussed for their potential in attributing liability and controlling data processing, though the question of specific AI legislation or a metadata law remained open. The imperative for coherence across legal, technological, and media sectors was stressed, alongside the suggestion of a "Digital Development Tax" to address systemic economic imbalances.</w:t>
      </w:r>
    </w:p>
    <w:p w14:paraId="50592726" w14:textId="7FA93877"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Social Justice, Militarisation, and Public Service Media</w:t>
      </w:r>
    </w:p>
    <w:p w14:paraId="073FB659" w14:textId="722F67EE"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From a social justice perspective, the militarisation of AI, including the provision of drone technology, and its potential to exploit existing inequalities, were central themes. A pan-African approach was strongly advocated to prevent fragmentation and ensure that regulatory bodies are not compromised. Ethical frameworks were criticized for focusing too much on technical fixes rather than systemic issues, leading to calls for more research into gendered disinformation and intersectional approaches to counter the homogenising effects of current AI narratives. The practical difficulties for individuals seeking timely recourse against platforms were also highlighted, with damage often occurring before legal processes can conclude.</w:t>
      </w:r>
    </w:p>
    <w:p w14:paraId="55B41DDC" w14:textId="09A5337A"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impact of AI on public service journalism was a key area of discussion. Broadcasters acknowledged the shift to Over-The-Top (OTT) platforms and the complexities of integrating AI into newsrooms, particularly regarding its speed, scale, and the necessity of greater literacy among both journalists and the public. Despite possessing immense data archives, media organizations lamented a lack of technological capability and resources to effectively leverage this data for AI applications. The session concluded with a strong call for internal media collaboration and external partnerships to close knowledge gaps, develop ethical guidelines for AI news use, and explore mutually beneficial exchanges for data utilization and training to ensure AI serves the South African public interest.</w:t>
      </w:r>
    </w:p>
    <w:p w14:paraId="79EA7402" w14:textId="6D31A270"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The M20 Initiative</w:t>
      </w:r>
    </w:p>
    <w:p w14:paraId="327170EE"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final session of day one introduced the M20 (Media20) initiative, highlighting the critical threat posed by the confluence of AI's rise and the diminishing influence of traditional information integrity frameworks on democracy. The M20, an independent group mirroring official G20 engagement bodies, aims to center media integrity and healthy information ecosystems in the G20 policy agenda. Their website, Media20.org, serves as a platform for publishing policy briefs, particularly aiming to build consensus among Global South nations.</w:t>
      </w:r>
    </w:p>
    <w:p w14:paraId="45062C35" w14:textId="2431994D"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lastRenderedPageBreak/>
        <w:t>The discussion emphasized the need to transition from a responsive to a proactive approach to information integrity, anticipating and mitigating risks. The establishment of an ombud was proposed to channel diverse issues and promote foresight. Crucial Africa-wide guidelines, namely ACHPR Resolutions 620, 630, and 631, were highlighted as essential frameworks for digital rights and public service content, requiring broad input for standard-setting. Concerns were raised about the role of structural inequalities and vested interests in fuelling information integrity problems, particularly in the context of "lean media rooms" and the obscuring effect of AI hype.</w:t>
      </w:r>
    </w:p>
    <w:p w14:paraId="18DACD9D"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To gain more traction, framing information integrity as a trade and investment issue, alongside its human rights dimension, was suggested. Leveraging initiatives like the African Continental Free Trade Area (AfCFTA) to create a single digital economy could facilitate compliance. The strategy of "domestication" of big tech at the national level, allowing for local control and beneficiation within democratic frameworks, was also put forward. A government representative affirmed that misinformation and disinformation would be top concerns in upcoming G20 task force meetings. The session concluded by stressing the necessity of clear legal frameworks and assigned responsibilities for regulating large online platforms, asserting that anything illegal should not require negotiation. Stronger collaboration across all sectors—media, tech, and government—was advocated to close the knowledge gap surrounding AI.</w:t>
      </w:r>
    </w:p>
    <w:p w14:paraId="5B6D9334" w14:textId="3EF9B3C1"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Digital Literacy and Countermeasures</w:t>
      </w:r>
    </w:p>
    <w:p w14:paraId="15B520B6" w14:textId="5D55A5C5"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Day two commenced with a focus on Digital Literacy, where academics and a representative from the Independent Electoral Commission (IEC) shared learnings. A nuanced understanding was highlighted: while "media literacy" might not resonate with younger audiences, there is keen interest in practical skills like distinguishing persuasion from manipulation and understanding the role of influencers. This suggests reframing the discussion around "digital literacy," a term favoured by certain bodies, with an emphasis on building upon existing community knowledge and leveraging media for empowerment.</w:t>
      </w:r>
    </w:p>
    <w:p w14:paraId="60B4B264"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 xml:space="preserve">Key themes included prioritizing multilingualism and African-centred approaches to ensure cultural relevance and accessibility. Discussions also covered digital literacy's critical role in democratic processes, with electoral bodies needing customized engagement strategies while navigating concerns around data protection and cybersecurity. Digital literacy was broadly defined across three dimensions: access (infrastructure and data), practical skills (including vernacular literacies), and the tangible benefits these skills bring (e.g., democratic participation, </w:t>
      </w:r>
      <w:r w:rsidRPr="008360F7">
        <w:rPr>
          <w:rFonts w:ascii="Times New Roman" w:hAnsi="Times New Roman" w:cs="Times New Roman"/>
        </w:rPr>
        <w:lastRenderedPageBreak/>
        <w:t>improved living circumstances). Critical gaps identified included a pervasive lack of technical, investigative, and prosecutorial capacity, and an inadequate regulatory framework that struggles to compel platform cooperation. Merely educating individuals to "spot" misinformation was deemed insufficient; a deeper understanding of contextual factors is needed. The session concluded with a call for sustained, cross-sectoral efforts to map existing work and develop relevant, integrated, and genuinely engaging digital literacy curricula for the African context.</w:t>
      </w:r>
    </w:p>
    <w:p w14:paraId="0F2CA316" w14:textId="77777777"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Countermeasures to Mis- and Disinformation</w:t>
      </w:r>
    </w:p>
    <w:p w14:paraId="3E794707"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A dedicated session on Countermeasures positioned disinformation not merely as a content issue but as a sophisticated, often profitable, network akin to organized crime. The critical shift advocated was to move focus from solely educating the general public to equipping key societal segments, such as politicians and journalists, with a deeper "intelligence" about how social media algorithms operate and how narratives are constructed and amplified. This is essential for effectively navigating and responding to digital manipulation.</w:t>
      </w:r>
    </w:p>
    <w:p w14:paraId="4DA6AEAF"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discussion showcased the crucial role of technology in scaling efforts. Advanced AI-powered tools were presented to assist human verifiers by automating bottlenecks in research and monitoring across multiple languages and platforms, consolidating media monitoring, and identifying subtly implied misinformation in multimodal content like videos. These technological solutions are complemented by human teams, including investigative newsrooms, fact-checking units collaborating with major platforms, and initiatives focused on capacity building across the continent. The goal is to disrupt the economic models of information disorder by attacking the infrastructure that profits from it.</w:t>
      </w:r>
    </w:p>
    <w:p w14:paraId="0E8852EF" w14:textId="24108909"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 xml:space="preserve">Despite these advancements, significant gaps remain, notably the widespread lack of public understanding regarding platform and algorithm functionality, coupled with a severe deficit in technical and prosecutorial capacity. Existing regulatory frameworks were criticized for being insufficient in compelling platforms to share crucial information. A substantial funding gap was identified, disproportionately affecting smaller organizations and limiting access to vital technological tools. Ethical considerations regarding AI, including the need for government involvement in regulating it as a public utility, were also debated. The session concluded with a consensus on the absolute necessity of a collaborative and sustained approach —cross-sectoral partnerships are vital. Strengthening media capacity, especially in light of changing </w:t>
      </w:r>
      <w:r w:rsidRPr="008360F7">
        <w:rPr>
          <w:rFonts w:ascii="Times New Roman" w:hAnsi="Times New Roman" w:cs="Times New Roman"/>
        </w:rPr>
        <w:lastRenderedPageBreak/>
        <w:t xml:space="preserve">news consumption and budget </w:t>
      </w:r>
      <w:r w:rsidR="008360F7" w:rsidRPr="008360F7">
        <w:rPr>
          <w:rFonts w:ascii="Times New Roman" w:hAnsi="Times New Roman" w:cs="Times New Roman"/>
        </w:rPr>
        <w:t>constraints and</w:t>
      </w:r>
      <w:r w:rsidRPr="008360F7">
        <w:rPr>
          <w:rFonts w:ascii="Times New Roman" w:hAnsi="Times New Roman" w:cs="Times New Roman"/>
        </w:rPr>
        <w:t xml:space="preserve"> supporting smaller organizations with resources were highlighted as crucial for fostering a more resilient information ecosystem.</w:t>
      </w:r>
    </w:p>
    <w:p w14:paraId="6A0DFB36" w14:textId="54AED68D"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Investigative Journalism and Digital Forensics</w:t>
      </w:r>
    </w:p>
    <w:p w14:paraId="356B446C" w14:textId="6F056932"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A session dedicated to investigative journalists painted a stark picture of a global information ecosystem under siege, citing the planetary-scale impact of digital processes, such as the online gambling epidemic and the manipulative power of algorithms steering individuals into echo chambers. A critical concern was the erosion of a shared reality, which undermines accountability and democratic goals. Disinformation was characterized as a deliberate, profitable endeavour with sophisticated operations behind seemingly organic narratives, noting that even credible sources can be exploited to spread pseudo-scientific information.</w:t>
      </w:r>
    </w:p>
    <w:p w14:paraId="6F2CBC19" w14:textId="3DA1968E"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In response, the session emphasized the evolving role of investigative journalism, arguing that journalists must now function as "digital forensic analysts" equipped to understand algorithm workings and manipulation patterns. Advanced AI tools were presented as crucial for scaling efforts, automating verification, and consolidating monitoring across various formats, ultimately aiming to disrupt the economic models fuelling information disorder. Key challenges reiterated were the widespread knowledge deficit among the public and influential figures regarding platform operation, and the critical issue of financial sustainability for independent investigative journalism, which risks creating a technological divide. Ethical concerns over AI's potential as a "false multiplier" were also debated. The overwhelming consensus was the absolute necessity of broad, cross-sectoral collaboration between journalists, researchers, tech developers, and government, with Pan-African cooperation being essential to protect information integrity and democratic processes.</w:t>
      </w:r>
    </w:p>
    <w:p w14:paraId="7E25A749" w14:textId="2C7749EA" w:rsidR="00901941" w:rsidRPr="008360F7" w:rsidRDefault="00901941" w:rsidP="008360F7">
      <w:pPr>
        <w:spacing w:line="360" w:lineRule="auto"/>
        <w:jc w:val="both"/>
        <w:rPr>
          <w:rFonts w:ascii="Times New Roman" w:hAnsi="Times New Roman" w:cs="Times New Roman"/>
          <w:b/>
          <w:bCs/>
          <w:color w:val="62243D"/>
        </w:rPr>
      </w:pPr>
      <w:r w:rsidRPr="008360F7">
        <w:rPr>
          <w:rFonts w:ascii="Times New Roman" w:hAnsi="Times New Roman" w:cs="Times New Roman"/>
          <w:b/>
          <w:bCs/>
          <w:color w:val="62243D"/>
        </w:rPr>
        <w:t>Online Hate, Xenophobia, and TFGBV</w:t>
      </w:r>
    </w:p>
    <w:p w14:paraId="058F9236"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The summit’s final session delivered a sobering analysis of the pervasive nature of online hate, particularly in the contexts of elections, xenophobia, and Technology-Facilitated Gender-Based Violence (TFGBV). Speakers highlighted that digital platforms, particularly in regions like Nigeria, have become arenas for historical traumas and tribal animosities, exploited by sophisticated bad actors and political entities. Online hate often thrives in less regulated, closed groups and fringe platforms, using culturally coded messages and "hashjacking" to incite animosity, sometimes with actors masquerading as opposing groups.</w:t>
      </w:r>
    </w:p>
    <w:p w14:paraId="6FE8CA4D" w14:textId="77777777"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lastRenderedPageBreak/>
        <w:t>The discussion delved into the intersection of online hate with political processes. Insights revealed how certain narratives persist post-scandal and how political figures engage in xenophobic discourse. The session exposed the disturbing reality of inadequate law enforcement response to online hate, particularly in cases of TFGBV and xenophobic raids, which allows harmful online activities to manifest in real-world violence. Furthermore, state actors, as seen in examples from Zimbabwe, can operate "troll farms" to manufacture and disseminate hate content, mimicking legitimate news sources. The personal risks faced by journalists receiving death threats were underscored.</w:t>
      </w:r>
    </w:p>
    <w:p w14:paraId="50A5DE03" w14:textId="081B5DD0" w:rsidR="00901941" w:rsidRPr="008360F7" w:rsidRDefault="00901941" w:rsidP="008360F7">
      <w:pPr>
        <w:spacing w:line="360" w:lineRule="auto"/>
        <w:jc w:val="both"/>
        <w:rPr>
          <w:rFonts w:ascii="Times New Roman" w:hAnsi="Times New Roman" w:cs="Times New Roman"/>
        </w:rPr>
      </w:pPr>
      <w:r w:rsidRPr="008360F7">
        <w:rPr>
          <w:rFonts w:ascii="Times New Roman" w:hAnsi="Times New Roman" w:cs="Times New Roman"/>
        </w:rPr>
        <w:t>On TFGBV, it was stressed that technology is not neutral; it often reinforces existing patriarchal structures and enables the continuation of offline violence in the digital realm. The global feminist movement is grappling with the well-organized and well-funded nature of the backlash against their work. In conclusion, the session urged for comprehensive, collaborative countermeasures, including a deeper understanding of the motivations behind online hate and addressing systemic failures in law enforcement. There was a strong call for global perspectives, new frameworks to analyse culturally coded messaging, and the combination of ethnographic and computational methods. Crucially, a significant funding gap for initiatives combating TFGBV and other forms of online hate was identified, stressing that addressing these issues benefits everyone but resources are dwindling. The path forward requires not only robust technological solutions but also structural reform, collective care, and a united effort.</w:t>
      </w:r>
    </w:p>
    <w:p w14:paraId="48491047" w14:textId="77777777" w:rsidR="00D414D2" w:rsidRPr="008360F7" w:rsidRDefault="00D414D2" w:rsidP="008360F7">
      <w:pPr>
        <w:spacing w:line="360" w:lineRule="auto"/>
        <w:rPr>
          <w:rFonts w:ascii="Times New Roman" w:hAnsi="Times New Roman" w:cs="Times New Roman"/>
        </w:rPr>
      </w:pPr>
    </w:p>
    <w:sectPr w:rsidR="00D414D2" w:rsidRPr="00836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941"/>
    <w:rsid w:val="000264FB"/>
    <w:rsid w:val="005A0505"/>
    <w:rsid w:val="007D1774"/>
    <w:rsid w:val="008360F7"/>
    <w:rsid w:val="00901941"/>
    <w:rsid w:val="00B70C5B"/>
    <w:rsid w:val="00D414D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D975"/>
  <w15:chartTrackingRefBased/>
  <w15:docId w15:val="{840D6FF9-1504-44BC-B97A-3C154A19F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941"/>
    <w:rPr>
      <w:rFonts w:eastAsiaTheme="majorEastAsia" w:cstheme="majorBidi"/>
      <w:color w:val="272727" w:themeColor="text1" w:themeTint="D8"/>
    </w:rPr>
  </w:style>
  <w:style w:type="paragraph" w:styleId="Title">
    <w:name w:val="Title"/>
    <w:basedOn w:val="Normal"/>
    <w:next w:val="Normal"/>
    <w:link w:val="TitleChar"/>
    <w:uiPriority w:val="10"/>
    <w:qFormat/>
    <w:rsid w:val="00901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941"/>
    <w:pPr>
      <w:spacing w:before="160"/>
      <w:jc w:val="center"/>
    </w:pPr>
    <w:rPr>
      <w:i/>
      <w:iCs/>
      <w:color w:val="404040" w:themeColor="text1" w:themeTint="BF"/>
    </w:rPr>
  </w:style>
  <w:style w:type="character" w:customStyle="1" w:styleId="QuoteChar">
    <w:name w:val="Quote Char"/>
    <w:basedOn w:val="DefaultParagraphFont"/>
    <w:link w:val="Quote"/>
    <w:uiPriority w:val="29"/>
    <w:rsid w:val="00901941"/>
    <w:rPr>
      <w:i/>
      <w:iCs/>
      <w:color w:val="404040" w:themeColor="text1" w:themeTint="BF"/>
    </w:rPr>
  </w:style>
  <w:style w:type="paragraph" w:styleId="ListParagraph">
    <w:name w:val="List Paragraph"/>
    <w:basedOn w:val="Normal"/>
    <w:uiPriority w:val="34"/>
    <w:qFormat/>
    <w:rsid w:val="00901941"/>
    <w:pPr>
      <w:ind w:left="720"/>
      <w:contextualSpacing/>
    </w:pPr>
  </w:style>
  <w:style w:type="character" w:styleId="IntenseEmphasis">
    <w:name w:val="Intense Emphasis"/>
    <w:basedOn w:val="DefaultParagraphFont"/>
    <w:uiPriority w:val="21"/>
    <w:qFormat/>
    <w:rsid w:val="00901941"/>
    <w:rPr>
      <w:i/>
      <w:iCs/>
      <w:color w:val="0F4761" w:themeColor="accent1" w:themeShade="BF"/>
    </w:rPr>
  </w:style>
  <w:style w:type="paragraph" w:styleId="IntenseQuote">
    <w:name w:val="Intense Quote"/>
    <w:basedOn w:val="Normal"/>
    <w:next w:val="Normal"/>
    <w:link w:val="IntenseQuoteChar"/>
    <w:uiPriority w:val="30"/>
    <w:qFormat/>
    <w:rsid w:val="00901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941"/>
    <w:rPr>
      <w:i/>
      <w:iCs/>
      <w:color w:val="0F4761" w:themeColor="accent1" w:themeShade="BF"/>
    </w:rPr>
  </w:style>
  <w:style w:type="character" w:styleId="IntenseReference">
    <w:name w:val="Intense Reference"/>
    <w:basedOn w:val="DefaultParagraphFont"/>
    <w:uiPriority w:val="32"/>
    <w:qFormat/>
    <w:rsid w:val="00901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2595</Words>
  <Characters>14793</Characters>
  <Application>Microsoft Office Word</Application>
  <DocSecurity>0</DocSecurity>
  <Lines>123</Lines>
  <Paragraphs>34</Paragraphs>
  <ScaleCrop>false</ScaleCrop>
  <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yossabel chetty</dc:creator>
  <cp:keywords/>
  <dc:description/>
  <cp:lastModifiedBy>Roodt, D, Mr [27670929@sun.ac.za]</cp:lastModifiedBy>
  <cp:revision>3</cp:revision>
  <dcterms:created xsi:type="dcterms:W3CDTF">2025-11-17T08:02:00Z</dcterms:created>
  <dcterms:modified xsi:type="dcterms:W3CDTF">2026-01-13T14:10:00Z</dcterms:modified>
</cp:coreProperties>
</file>